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0338D"/>
          <w:sz w:val="52"/>
        </w:rPr>
        <w:t>AI Landing Zone</w:t>
      </w:r>
    </w:p>
    <w:p>
      <w:r>
        <w:rPr>
          <w:b/>
          <w:color w:val="00338D"/>
          <w:sz w:val="36"/>
        </w:rPr>
        <w:t>Production Readiness Plan</w:t>
      </w:r>
    </w:p>
    <w:p>
      <w:r>
        <w:rPr>
          <w:i/>
          <w:sz w:val="24"/>
        </w:rPr>
        <w:t>Prepared for review — DRAFT</w:t>
      </w:r>
    </w:p>
    <w:p>
      <w:r>
        <w:t>Date: July 8, 2026</w:t>
      </w:r>
    </w:p>
    <w:p>
      <w:r>
        <w:rPr>
          <w:b w:val="0"/>
          <w:i w:val="0"/>
        </w:rPr>
        <w:t>Structure: This document is a Standard Operating Procedure (SOP). Part 1 covers the first production deployment end to end (provisioning through deploy). Part 2 is the shorter, repeatable procedure for every deployment after that.</w:t>
      </w:r>
    </w:p>
    <w:p>
      <w:r>
        <w:rPr>
          <w:b w:val="0"/>
          <w:i w:val="0"/>
        </w:rPr>
        <w:t>Gate: This plan is finalized and executed only after User Acceptance Testing (UAT) sign-off — the runbook for production launch.</w:t>
      </w:r>
    </w:p>
    <w:p>
      <w:pPr>
        <w:pStyle w:val="Heading1"/>
      </w:pPr>
      <w:r>
        <w:rPr>
          <w:color w:val="00338D"/>
        </w:rPr>
        <w:t>Current State Summary</w:t>
      </w:r>
    </w:p>
    <w:p>
      <w:r>
        <w:rPr>
          <w:b w:val="0"/>
          <w:i w:val="0"/>
        </w:rPr>
        <w:t>The following reflects what exists today across the development (dev), quality-assurance (QA), and production (prod) environments.</w:t>
      </w:r>
    </w:p>
    <w:tbl>
      <w:tblPr>
        <w:tblStyle w:val="TableGrid"/>
        <w:tblW w:type="auto" w:w="0"/>
        <w:jc w:val="center"/>
        <w:tblLook w:firstColumn="1" w:firstRow="1" w:lastColumn="0" w:lastRow="0" w:noHBand="0" w:noVBand="1" w:val="04A0"/>
      </w:tblPr>
      <w:tblGrid>
        <w:gridCol w:w="4320"/>
        <w:gridCol w:w="4320"/>
      </w:tblGrid>
      <w:tr>
        <w:tc>
          <w:tcPr>
            <w:tcW w:type="dxa" w:w="4320"/>
            <w:shd w:val="clear" w:color="auto" w:fill="00338D"/>
          </w:tcPr>
          <w:p>
            <w:r>
              <w:rPr>
                <w:b/>
                <w:color w:val="FFFFFF"/>
                <w:sz w:val="20"/>
              </w:rPr>
              <w:t>Item</w:t>
            </w:r>
          </w:p>
        </w:tc>
        <w:tc>
          <w:tcPr>
            <w:tcW w:type="dxa" w:w="4320"/>
            <w:shd w:val="clear" w:color="auto" w:fill="00338D"/>
          </w:tcPr>
          <w:p>
            <w:r>
              <w:rPr>
                <w:b/>
                <w:color w:val="FFFFFF"/>
                <w:sz w:val="20"/>
              </w:rPr>
              <w:t>State</w:t>
            </w:r>
          </w:p>
        </w:tc>
      </w:tr>
      <w:tr>
        <w:tc>
          <w:tcPr>
            <w:tcW w:type="dxa" w:w="4320"/>
          </w:tcPr>
          <w:p>
            <w:r>
              <w:rPr>
                <w:sz w:val="19"/>
              </w:rPr>
              <w:t>AWS dev account</w:t>
            </w:r>
          </w:p>
        </w:tc>
        <w:tc>
          <w:tcPr>
            <w:tcW w:type="dxa" w:w="4320"/>
          </w:tcPr>
          <w:p>
            <w:r>
              <w:rPr>
                <w:sz w:val="19"/>
              </w:rPr>
              <w:t>Hosts both dev and QA environments (separate networks, separate state). Region us-west-2.</w:t>
            </w:r>
          </w:p>
        </w:tc>
      </w:tr>
      <w:tr>
        <w:tc>
          <w:tcPr>
            <w:tcW w:type="dxa" w:w="4320"/>
          </w:tcPr>
          <w:p>
            <w:r>
              <w:rPr>
                <w:sz w:val="19"/>
              </w:rPr>
              <w:t>AWS prod account</w:t>
            </w:r>
          </w:p>
        </w:tc>
        <w:tc>
          <w:tcPr>
            <w:tcW w:type="dxa" w:w="4320"/>
          </w:tcPr>
          <w:p>
            <w:r>
              <w:rPr>
                <w:sz w:val="19"/>
              </w:rPr>
              <w:t>Provisioned and access granted, but no Landing Zone work has been done in it yet. Treat as empty until surveyed (Step 1.1).</w:t>
            </w:r>
          </w:p>
        </w:tc>
      </w:tr>
      <w:tr>
        <w:tc>
          <w:tcPr>
            <w:tcW w:type="dxa" w:w="4320"/>
          </w:tcPr>
          <w:p>
            <w:r>
              <w:rPr>
                <w:sz w:val="19"/>
              </w:rPr>
              <w:t>Branch model</w:t>
            </w:r>
          </w:p>
        </w:tc>
        <w:tc>
          <w:tcPr>
            <w:tcW w:type="dxa" w:w="4320"/>
          </w:tcPr>
          <w:p>
            <w:r>
              <w:rPr>
                <w:sz w:val="19"/>
              </w:rPr>
              <w:t>dev → qa → main. Feature work targets dev; qa and main are promotion branches with protection rules (approval, required checks, linear history).</w:t>
            </w:r>
          </w:p>
        </w:tc>
      </w:tr>
      <w:tr>
        <w:tc>
          <w:tcPr>
            <w:tcW w:type="dxa" w:w="4320"/>
          </w:tcPr>
          <w:p>
            <w:r>
              <w:rPr>
                <w:sz w:val="19"/>
              </w:rPr>
              <w:t>Deploy pipelines (dev, QA)</w:t>
            </w:r>
          </w:p>
        </w:tc>
        <w:tc>
          <w:tcPr>
            <w:tcW w:type="dxa" w:w="4320"/>
          </w:tcPr>
          <w:p>
            <w:r>
              <w:rPr>
                <w:sz w:val="19"/>
              </w:rPr>
              <w:t>Automated build-and-deploy pipelines exist and are proven for both dev and QA.</w:t>
            </w:r>
          </w:p>
        </w:tc>
      </w:tr>
      <w:tr>
        <w:tc>
          <w:tcPr>
            <w:tcW w:type="dxa" w:w="4320"/>
          </w:tcPr>
          <w:p>
            <w:r>
              <w:rPr>
                <w:sz w:val="19"/>
              </w:rPr>
              <w:t>Deploy pipeline (prod)</w:t>
            </w:r>
          </w:p>
        </w:tc>
        <w:tc>
          <w:tcPr>
            <w:tcW w:type="dxa" w:w="4320"/>
          </w:tcPr>
          <w:p>
            <w:r>
              <w:rPr>
                <w:sz w:val="19"/>
              </w:rPr>
              <w:t>Does NOT exist yet. Merging to main deploys nothing today. Build item (Step 1.5).</w:t>
            </w:r>
          </w:p>
        </w:tc>
      </w:tr>
      <w:tr>
        <w:tc>
          <w:tcPr>
            <w:tcW w:type="dxa" w:w="4320"/>
          </w:tcPr>
          <w:p>
            <w:r>
              <w:rPr>
                <w:sz w:val="19"/>
              </w:rPr>
              <w:t>Infrastructure as Code (Terraform)</w:t>
            </w:r>
          </w:p>
        </w:tc>
        <w:tc>
          <w:tcPr>
            <w:tcW w:type="dxa" w:w="4320"/>
          </w:tcPr>
          <w:p>
            <w:r>
              <w:rPr>
                <w:sz w:val="19"/>
              </w:rPr>
              <w:t>Full module set proven twice (dev + QA): networking, storage, content delivery, secrets, compute, API Gateway with Okta authentication, key management, guardrails, malware protection, CI/CD identity, Bedrock AI + Knowledge Base.</w:t>
            </w:r>
          </w:p>
        </w:tc>
      </w:tr>
      <w:tr>
        <w:tc>
          <w:tcPr>
            <w:tcW w:type="dxa" w:w="4320"/>
          </w:tcPr>
          <w:p>
            <w:r>
              <w:rPr>
                <w:sz w:val="19"/>
              </w:rPr>
              <w:t>prod configuration file</w:t>
            </w:r>
          </w:p>
        </w:tc>
        <w:tc>
          <w:tcPr>
            <w:tcW w:type="dxa" w:w="4320"/>
          </w:tcPr>
          <w:p>
            <w:r>
              <w:rPr>
                <w:sz w:val="19"/>
              </w:rPr>
              <w:t>Exists but is a 6-line skeleton; account ID, Okta values, database wiring, feature flags, and the web-search key must still be authored.</w:t>
            </w:r>
          </w:p>
        </w:tc>
      </w:tr>
      <w:tr>
        <w:tc>
          <w:tcPr>
            <w:tcW w:type="dxa" w:w="4320"/>
          </w:tcPr>
          <w:p>
            <w:r>
              <w:rPr>
                <w:sz w:val="19"/>
              </w:rPr>
              <w:t>Database</w:t>
            </w:r>
          </w:p>
        </w:tc>
        <w:tc>
          <w:tcPr>
            <w:tcW w:type="dxa" w:w="4320"/>
          </w:tcPr>
          <w:p>
            <w:r>
              <w:rPr>
                <w:sz w:val="19"/>
              </w:rPr>
              <w:t>dev and QA on a shared MongoDB Atlas cluster. A separate production Atlas cluster reportedly already exists (provisioned by Ryan) — see Step 1.6.</w:t>
            </w:r>
          </w:p>
        </w:tc>
      </w:tr>
      <w:tr>
        <w:tc>
          <w:tcPr>
            <w:tcW w:type="dxa" w:w="4320"/>
          </w:tcPr>
          <w:p>
            <w:r>
              <w:rPr>
                <w:sz w:val="19"/>
              </w:rPr>
              <w:t>Secrets</w:t>
            </w:r>
          </w:p>
        </w:tc>
        <w:tc>
          <w:tcPr>
            <w:tcW w:type="dxa" w:w="4320"/>
          </w:tcPr>
          <w:p>
            <w:r>
              <w:rPr>
                <w:sz w:val="19"/>
              </w:rPr>
              <w:t>The only genuine loose application secret is the web-search provider key (Tavily). Okta uses OpenID Connect + token validation (no stored client secret); Bedrock uses an IAM role (no API key). See the Step 1.4 caution.</w:t>
            </w:r>
          </w:p>
        </w:tc>
      </w:tr>
      <w:tr>
        <w:tc>
          <w:tcPr>
            <w:tcW w:type="dxa" w:w="4320"/>
          </w:tcPr>
          <w:p>
            <w:r>
              <w:rPr>
                <w:sz w:val="19"/>
              </w:rPr>
              <w:t>Okta identity</w:t>
            </w:r>
          </w:p>
        </w:tc>
        <w:tc>
          <w:tcPr>
            <w:tcW w:type="dxa" w:w="4320"/>
          </w:tcPr>
          <w:p>
            <w:r>
              <w:rPr>
                <w:sz w:val="19"/>
              </w:rPr>
              <w:t>QA authenticates against the production Okta tenant. The authorization server named “landing-zone-prod” currently serves QA — see Open Item 3.</w:t>
            </w:r>
          </w:p>
        </w:tc>
      </w:tr>
      <w:tr>
        <w:tc>
          <w:tcPr>
            <w:tcW w:type="dxa" w:w="4320"/>
          </w:tcPr>
          <w:p>
            <w:r>
              <w:rPr>
                <w:sz w:val="19"/>
              </w:rPr>
              <w:t>Streaming</w:t>
            </w:r>
          </w:p>
        </w:tc>
        <w:tc>
          <w:tcPr>
            <w:tcW w:type="dxa" w:w="4320"/>
          </w:tcPr>
          <w:p>
            <w:r>
              <w:rPr>
                <w:sz w:val="19"/>
              </w:rPr>
              <w:t>Production streaming today is Server-Sent Events (SSE) over the HTTP API, with a 30-second response cap (auto-recovery mitigation shipped — covers the demo). The 30-second ceiling on long answers is not acceptable for real production users, so removing it is a scoped go-live requirement — see Section 1.13 / Open Item 7. The inherited WebSocket path remains gated off and is not a production option.</w:t>
            </w:r>
          </w:p>
        </w:tc>
      </w:tr>
      <w:tr>
        <w:tc>
          <w:tcPr>
            <w:tcW w:type="dxa" w:w="4320"/>
          </w:tcPr>
          <w:p>
            <w:r>
              <w:rPr>
                <w:sz w:val="19"/>
              </w:rPr>
              <w:t>Custom domain</w:t>
            </w:r>
          </w:p>
        </w:tc>
        <w:tc>
          <w:tcPr>
            <w:tcW w:type="dxa" w:w="4320"/>
          </w:tcPr>
          <w:p>
            <w:r>
              <w:rPr>
                <w:sz w:val="19"/>
              </w:rPr>
              <w:t>None chosen yet. Not a blocker — the app runs on the content-delivery (CloudFront) domain and a custom domain is enabled later.</w:t>
            </w:r>
          </w:p>
        </w:tc>
      </w:tr>
      <w:tr>
        <w:tc>
          <w:tcPr>
            <w:tcW w:type="dxa" w:w="4320"/>
          </w:tcPr>
          <w:p>
            <w:r>
              <w:rPr>
                <w:sz w:val="19"/>
              </w:rPr>
              <w:t>Web Application Firewall (WAF)</w:t>
            </w:r>
          </w:p>
        </w:tc>
        <w:tc>
          <w:tcPr>
            <w:tcW w:type="dxa" w:w="4320"/>
          </w:tcPr>
          <w:p>
            <w:r>
              <w:rPr>
                <w:sz w:val="19"/>
              </w:rPr>
              <w:t>The only WAF access-control list is content-delivery-scoped (CloudFront). AWS WAFv2 cannot attach to the API Gateway HTTP API. Michael's plan uses a Cloudflare Enterprise WAF at the domain/edge layer.</w:t>
            </w:r>
          </w:p>
        </w:tc>
      </w:tr>
      <w:tr>
        <w:tc>
          <w:tcPr>
            <w:tcW w:type="dxa" w:w="4320"/>
          </w:tcPr>
          <w:p>
            <w:r>
              <w:rPr>
                <w:sz w:val="19"/>
              </w:rPr>
              <w:t>Guard tooling</w:t>
            </w:r>
          </w:p>
        </w:tc>
        <w:tc>
          <w:tcPr>
            <w:tcW w:type="dxa" w:w="4320"/>
          </w:tcPr>
          <w:p>
            <w:r>
              <w:rPr>
                <w:sz w:val="19"/>
              </w:rPr>
              <w:t>The repository and Infrastructure-as-Code actively block the prod account today by design; these guards must be consciously updated as part of an approved rollout.</w:t>
            </w:r>
          </w:p>
        </w:tc>
      </w:tr>
    </w:tbl>
    <w:p>
      <w:r>
        <w:rPr>
          <w:b w:val="0"/>
          <w:i/>
        </w:rPr>
        <w:t>Working assumption: production is a fresh deployment into the dedicated prod AWS account, promoted via qa → main. An earlier discussion described a “QA becomes prod” model; the separate prod account plus a pre-provisioned production database point to the fresh-deploy model. These should be reconciled with Michael and Bill before execution (Open Item 1).</w:t>
      </w:r>
    </w:p>
    <w:p>
      <w:pPr>
        <w:pStyle w:val="Heading1"/>
      </w:pPr>
      <w:r>
        <w:rPr>
          <w:color w:val="00338D"/>
        </w:rPr>
        <w:t>Part 1 — Initial Production Deployment</w:t>
      </w:r>
    </w:p>
    <w:p>
      <w:r>
        <w:rPr>
          <w:b w:val="0"/>
          <w:i/>
        </w:rPr>
        <w:t>Execute in order. Steps marked [CLIENT] are THE TEAM's responsibility; [PLACEHOLDER] items are things the client must define before go-live; [BUILD ITEM] requires new engineering before this SOP can run.</w:t>
      </w:r>
    </w:p>
    <w:p>
      <w:pPr>
        <w:pStyle w:val="Heading2"/>
      </w:pPr>
      <w:r>
        <w:rPr>
          <w:color w:val="00338D"/>
        </w:rPr>
        <w:t>1.1  AWS production account: access verification and read-only survey</w:t>
      </w:r>
    </w:p>
    <w:p>
      <w:pPr>
        <w:pStyle w:val="ListNumber"/>
      </w:pPr>
      <w:r>
        <w:t>Confirm Single Sign-On (SSO) access to the prod account and configure a local named profile.</w:t>
      </w:r>
    </w:p>
    <w:p>
      <w:pPr>
        <w:pStyle w:val="ListNumber"/>
      </w:pPr>
      <w:r>
        <w:t>Verify the assumed role and account identity.</w:t>
      </w:r>
    </w:p>
    <w:p>
      <w:pPr>
        <w:pStyle w:val="ListNumber"/>
      </w:pPr>
      <w:r>
        <w:t>Perform a read-only survey before touching anything: list networks, content-delivery distributions, storage buckets, IAM roles, secrets, and any Bedrock configuration already present. Reconcile findings against the Terraform plan before the first apply.</w:t>
      </w:r>
    </w:p>
    <w:p>
      <w:pPr>
        <w:pStyle w:val="ListNumber"/>
      </w:pPr>
      <w:r>
        <w:t>Confirm the deployment region with THE TEAM: us-west-2 (matches dev/QA; Bedrock model routing is pinned to us-west-2 inference profiles).</w:t>
      </w:r>
    </w:p>
    <w:p>
      <w:pPr>
        <w:pStyle w:val="Heading2"/>
      </w:pPr>
      <w:r>
        <w:rPr>
          <w:color w:val="00338D"/>
        </w:rPr>
        <w:t>1.2  Bedrock model access (granted per account)</w:t>
      </w:r>
    </w:p>
    <w:p>
      <w:r>
        <w:rPr>
          <w:b w:val="0"/>
          <w:i w:val="0"/>
        </w:rPr>
        <w:t>Model access is granted per AWS account — nothing carries over from dev.</w:t>
      </w:r>
    </w:p>
    <w:p>
      <w:pPr>
        <w:pStyle w:val="ListNumber"/>
      </w:pPr>
      <w:r>
        <w:t>Enable model access in the prod account for the Anthropic model family, the embedding models, and the OpenAI open-source models in the catalog.</w:t>
      </w:r>
    </w:p>
    <w:p>
      <w:pPr>
        <w:pStyle w:val="ListNumber"/>
      </w:pPr>
      <w:r>
        <w:t>Stability AI image models additionally require an AWS Marketplace subscription (a model agreement, not just a permissions grant). This was the root cause of image-model errors in dev on July 2 — repeat the subscription in prod.</w:t>
      </w:r>
    </w:p>
    <w:p>
      <w:pPr>
        <w:pStyle w:val="ListNumber"/>
      </w:pPr>
      <w:r>
        <w:t>Client note: OpenAI's hosted ChatGPT models are not yet available on Bedrock in us-west-2; the open-source models stand in until then.</w:t>
      </w:r>
    </w:p>
    <w:p>
      <w:pPr>
        <w:pStyle w:val="Heading2"/>
      </w:pPr>
      <w:r>
        <w:rPr>
          <w:color w:val="00338D"/>
        </w:rPr>
        <w:t>1.3  Terraform: prod state backend and configuration authoring  [BUILD ITEM]</w:t>
      </w:r>
    </w:p>
    <w:p>
      <w:pPr>
        <w:pStyle w:val="ListNumber"/>
      </w:pPr>
      <w:r>
        <w:t>Bootstrap a prod-owned state backend (state bucket + lock table in the prod account).</w:t>
      </w:r>
    </w:p>
    <w:p>
      <w:pPr>
        <w:pStyle w:val="ListNumber"/>
      </w:pPr>
      <w:r>
        <w:t>Author the prod configuration file fully, using the QA configuration as the template: prod account ID, Okta values (Open Item 3), database wiring (Step 1.6), the web-search (Tavily) key variable, and feature flags (database-stopgap disabled; Okta authorizer enabled; CI/CD identity enabled; AI enabled per the Knowledge Base decision; WebSocket disabled — Open Item 7).</w:t>
      </w:r>
    </w:p>
    <w:p>
      <w:pPr>
        <w:pStyle w:val="ListNumber"/>
      </w:pPr>
      <w:r>
        <w:t>Update the guard scripts that currently block the prod account — deliberately, with Sid's sign-off, as part of the approved rollout.</w:t>
      </w:r>
    </w:p>
    <w:p>
      <w:pPr>
        <w:pStyle w:val="Heading2"/>
      </w:pPr>
      <w:r>
        <w:rPr>
          <w:color w:val="00338D"/>
        </w:rPr>
        <w:t>1.4  Terraform apply (infrastructure provisioning)</w:t>
      </w:r>
    </w:p>
    <w:p>
      <w:pPr>
        <w:pStyle w:val="ListNumber"/>
      </w:pPr>
      <w:r>
        <w:t>Initialize with the prod backend; run a plan and review it with a second set of eyes (Sid) before the first-ever apply against the prod account.</w:t>
      </w:r>
    </w:p>
    <w:p>
      <w:pPr>
        <w:pStyle w:val="ListNumber"/>
      </w:pPr>
      <w:r>
        <w:rPr>
          <w:b/>
        </w:rPr>
        <w:t xml:space="preserve">SECRET-OVERWRITE CAUTION — must be handled on the first apply. </w:t>
      </w:r>
      <w:r>
        <w:t>The backend has no Terraform lifecycle protection on its environment, and two secret entries carry a literal “placeholder” value in Terraform. A blind apply that does not supply real values will write “placeholder” over any live secret and can break authentication, model access, and admin panels. Before the first prod apply, the real values production genuinely needs — the web-search (Tavily) key and the database password — must be supplied via environment variables at apply time (never committed). A codification effort to move the web-search key into Secrets Manager is in flight.</w:t>
      </w:r>
    </w:p>
    <w:p>
      <w:pPr>
        <w:pStyle w:val="ListNumber"/>
      </w:pPr>
      <w:r>
        <w:t>Apply provisions the proven module set: networking, storage, content delivery with origin access control, secrets, the application compute, API Gateway with the Okta authorizer, customer-managed encryption keys, the Bedrock guardrail resource, malware protection, and the CI/CD deploy identity.</w:t>
      </w:r>
    </w:p>
    <w:p>
      <w:pPr>
        <w:pStyle w:val="ListNumber"/>
      </w:pPr>
      <w:r>
        <w:t>Record post-apply outputs (content-delivery domain, API endpoint, role identifiers) — these feed Steps 1.5, 1.7, and 1.8.</w:t>
      </w:r>
    </w:p>
    <w:p>
      <w:pPr>
        <w:pStyle w:val="ListNumber"/>
      </w:pPr>
      <w:r>
        <w:rPr>
          <w:b/>
        </w:rPr>
        <w:t xml:space="preserve">WAF sequencing note. </w:t>
      </w:r>
      <w:r>
        <w:t>The AWS WAF is content-delivery-scoped (it fronts the edge layer; it cannot attach to the API Gateway HTTP API). Agree an ownership model with Michael so that any rules he maintains on the edge WAF are not overwritten by a later Terraform apply.</w:t>
      </w:r>
    </w:p>
    <w:p>
      <w:pPr>
        <w:pStyle w:val="Heading2"/>
      </w:pPr>
      <w:r>
        <w:rPr>
          <w:color w:val="00338D"/>
        </w:rPr>
        <w:t>1.5  Production deploy pipeline (CI/CD)  [BUILD ITEM]</w:t>
      </w:r>
    </w:p>
    <w:p>
      <w:r>
        <w:rPr>
          <w:b w:val="0"/>
          <w:i w:val="0"/>
        </w:rPr>
        <w:t>The promotion model (qa → main triggers the production deploy) matches the branch strategy, but the pipeline does not exist yet and must be built.</w:t>
      </w:r>
    </w:p>
    <w:p>
      <w:pPr>
        <w:pStyle w:val="ListNumber"/>
      </w:pPr>
      <w:r>
        <w:t>Create a prod deployment environment with production build variables and a manual-approval protection rule before deploy jobs run.</w:t>
      </w:r>
    </w:p>
    <w:p>
      <w:pPr>
        <w:pStyle w:val="ListNumber"/>
      </w:pPr>
      <w:r>
        <w:t>Author the prod deploy workflows (UI and application), cloned from the QA pair, triggered on merge to main, targeting the prod resources from Step 1.4.</w:t>
      </w:r>
    </w:p>
    <w:p>
      <w:pPr>
        <w:pStyle w:val="ListNumber"/>
      </w:pPr>
      <w:r>
        <w:t>Verification step, every deploy: confirm the built frontend's Okta issuer matches the prod API authorizer's trusted issuer. A mismatch produces a silent authentication failure across the app — this exact incident occurred on dev on June 22.</w:t>
      </w:r>
    </w:p>
    <w:p>
      <w:pPr>
        <w:pStyle w:val="Heading2"/>
      </w:pPr>
      <w:r>
        <w:rPr>
          <w:color w:val="00338D"/>
        </w:rPr>
        <w:t>1.6  MongoDB Atlas: production cluster confirmation</w:t>
      </w:r>
    </w:p>
    <w:p>
      <w:r>
        <w:rPr>
          <w:b w:val="0"/>
          <w:i w:val="0"/>
        </w:rPr>
        <w:t>Known: a production database cluster was already provisioned by Ryan at what was described as a full-production tier. Jonathan does not have create permissions and was told to leave it alone. The exact tier and the connection details still need to come from Ryan (Open Item 4).</w:t>
      </w:r>
    </w:p>
    <w:p>
      <w:pPr>
        <w:pStyle w:val="ListNumber"/>
      </w:pPr>
      <w:r>
        <w:t>[CLIENT/Ryan] Confirm cluster name, tier, region, and backup policy; provide the connection string.</w:t>
      </w:r>
    </w:p>
    <w:p>
      <w:pPr>
        <w:pStyle w:val="ListNumber"/>
      </w:pPr>
      <w:r>
        <w:t>Create the production database and a dedicated least-privilege user, mirroring the dev/QA isolation pattern.</w:t>
      </w:r>
    </w:p>
    <w:p>
      <w:pPr>
        <w:pStyle w:val="ListNumber"/>
      </w:pPr>
      <w:r>
        <w:t>Add the production application's network egress addresses to the database access list.</w:t>
      </w:r>
    </w:p>
    <w:p>
      <w:pPr>
        <w:pStyle w:val="ListNumber"/>
      </w:pPr>
      <w:r>
        <w:t>Wire into Terraform; the database password is supplied at apply time via an environment variable, never committed (one of the two real secrets from the Step 1.4 caution).</w:t>
      </w:r>
    </w:p>
    <w:p>
      <w:pPr>
        <w:pStyle w:val="ListNumber"/>
      </w:pPr>
      <w:r>
        <w:t>Run database migrations and required seed scripts against the empty prod database.</w:t>
      </w:r>
    </w:p>
    <w:p>
      <w:pPr>
        <w:pStyle w:val="ListNumber"/>
      </w:pPr>
      <w:r>
        <w:t>Production starts clean (recommended — QA contains test data) unless THE TEAM wants specific admin configuration migrated.</w:t>
      </w:r>
    </w:p>
    <w:p>
      <w:pPr>
        <w:pStyle w:val="Heading2"/>
      </w:pPr>
      <w:r>
        <w:rPr>
          <w:color w:val="00338D"/>
        </w:rPr>
        <w:t>1.7  Okta production wiring  — open question, do not guess</w:t>
      </w:r>
    </w:p>
    <w:p>
      <w:r>
        <w:rPr>
          <w:b w:val="0"/>
          <w:i w:val="0"/>
        </w:rPr>
        <w:t>QA already authenticates against the production Okta tenant using an app and a custom authorization server named “landing-zone-prod,” which currently serves QA. The open question (Open Item 3): is that app/authorization server intended to double as the real production identity configuration, or does production get its own? This SOP cannot proceed past this step without that answer.</w:t>
      </w:r>
    </w:p>
    <w:p>
      <w:r>
        <w:rPr>
          <w:b w:val="0"/>
          <w:i w:val="0"/>
        </w:rPr>
        <w:t>Steps once answered:</w:t>
      </w:r>
    </w:p>
    <w:p>
      <w:pPr>
        <w:pStyle w:val="ListBullet"/>
      </w:pPr>
      <w:r>
        <w:t>Register the production redirect addresses on the chosen app; add the content-delivery domain to trusted origins.</w:t>
      </w:r>
    </w:p>
    <w:p>
      <w:pPr>
        <w:pStyle w:val="ListBullet"/>
      </w:pPr>
      <w:r>
        <w:t>When the custom domain lands (Step 1.8), add it to Okta as well — redirect addresses and trusted origins. Do not let the domain decision block anything else.</w:t>
      </w:r>
    </w:p>
    <w:p>
      <w:pPr>
        <w:pStyle w:val="ListBullet"/>
      </w:pPr>
      <w:r>
        <w:t>Set matching values in the prod configuration and build variables — the frontend and the API authorizer must trust the same issuer.</w:t>
      </w:r>
    </w:p>
    <w:p>
      <w:pPr>
        <w:pStyle w:val="ListBullet"/>
      </w:pPr>
      <w:r>
        <w:t>Use the same admin/user Okta groups and group claim; confirm the claim-name casing standardization requested of Michael on June 25.</w:t>
      </w:r>
    </w:p>
    <w:p>
      <w:pPr>
        <w:pStyle w:val="ListBullet"/>
      </w:pPr>
      <w:r>
        <w:t>[CLIENT] Lead-time warning: new account creation on the production Okta tenant goes through THE TEAM's identity-and-access-management request process, which currently has delays due to team leave. Request all production accounts early.</w:t>
      </w:r>
    </w:p>
    <w:p>
      <w:r>
        <w:rPr>
          <w:b/>
        </w:rPr>
        <w:t xml:space="preserve">SCIM (System for Cross-domain Identity Management) — scoped for production, not a UAT blocker. </w:t>
      </w:r>
      <w:r>
        <w:t>Bill's stated top priority: without SCIM, usage cannot be tracked by group or business unit, and group/business-unit usage-and-cost tracking is the client's headline priority. Today only per-individual usage is trackable (the only Okta groups in the system are standard users and admin users). The read side (the app reads users/groups from Okta) already exists; the push side (Okta pushes provisioning and deprovisioning to the app) is net-new backend work and is what Bill wants, because it brings in the real group structure that group-level usage reporting depends on. It is orthogonal to the streaming and secrets work. Access control is not the gap — the app is already Okta-login and group-gated (a deactivated Okta user loses access today); the gap SCIM closes is group-resolved usage reporting plus real-time sync, explicit deactivation, and an audit trail. Action: preliminary research on SCIM for Okta and a call with Bill and Peter Hua (THE TEAM's Okta expert).</w:t>
      </w:r>
    </w:p>
    <w:p>
      <w:pPr>
        <w:pStyle w:val="Heading2"/>
      </w:pPr>
      <w:r>
        <w:rPr>
          <w:color w:val="00338D"/>
        </w:rPr>
        <w:t>1.8  DNS / custom domain / certificate  [CLIENT — pending domain decision]</w:t>
      </w:r>
    </w:p>
    <w:p>
      <w:r>
        <w:rPr>
          <w:b w:val="0"/>
          <w:i w:val="0"/>
        </w:rPr>
        <w:t>No domain has been chosen as of July 8. This does not block deployment — the app goes live on the content-delivery domain and the custom domain is enabled later. Michael used “aihub.the.team” as an example subdomain on the June 25 thread; this is the only candidate on record but may be illustrative — confirm the actual choice.</w:t>
      </w:r>
    </w:p>
    <w:p>
      <w:pPr>
        <w:pStyle w:val="ListNumber"/>
      </w:pPr>
      <w:r>
        <w:t>[CLIENT] Choose and communicate the domain/subdomain.</w:t>
      </w:r>
    </w:p>
    <w:p>
      <w:pPr>
        <w:pStyle w:val="ListNumber"/>
      </w:pPr>
      <w:r>
        <w:t>Request an AWS Certificate Manager (ACM) certificate for it in the us-east-1 region — a content-delivery requirement regardless of the app running in us-west-2.</w:t>
      </w:r>
    </w:p>
    <w:p>
      <w:pPr>
        <w:pStyle w:val="ListNumber"/>
      </w:pPr>
      <w:r>
        <w:t>[CLIENT] Create the DNS validation record the certificate service issues.</w:t>
      </w:r>
    </w:p>
    <w:p>
      <w:pPr>
        <w:pStyle w:val="ListNumber"/>
      </w:pPr>
      <w:r>
        <w:t>Attach the issued certificate and alternate domain name to the content-delivery distribution (a Terraform change).</w:t>
      </w:r>
    </w:p>
    <w:p>
      <w:pPr>
        <w:pStyle w:val="ListNumber"/>
      </w:pPr>
      <w:r>
        <w:t>[CLIENT] Create the final DNS record pointing the chosen domain at the content-delivery distribution.</w:t>
      </w:r>
    </w:p>
    <w:p>
      <w:pPr>
        <w:pStyle w:val="ListNumber"/>
      </w:pPr>
      <w:r>
        <w:t>[CLIENT + us] Add the domain to Okta (redirect addresses / trusted origins) per Step 1.7.</w:t>
      </w:r>
    </w:p>
    <w:p>
      <w:r>
        <w:rPr>
          <w:b w:val="0"/>
          <w:i w:val="0"/>
        </w:rPr>
        <w:t>The domain also matters for the WAF: Michael intends to front the chosen domain with the Cloudflare Enterprise WAF (Section 1.9), which is easiest to stand up once the domain exists.</w:t>
      </w:r>
    </w:p>
    <w:p>
      <w:pPr>
        <w:pStyle w:val="Heading2"/>
      </w:pPr>
      <w:r>
        <w:rPr>
          <w:color w:val="00338D"/>
        </w:rPr>
        <w:t>1.9  Network access posture: firewall / WAF  [largely decided — confirm details with Michael]</w:t>
      </w:r>
    </w:p>
    <w:p>
      <w:r>
        <w:rPr>
          <w:b w:val="0"/>
          <w:i w:val="0"/>
        </w:rPr>
        <w:t>The production access posture is substantially answered by the June 25 internet-access approval thread (approved by Shelley Pisarra and Amy Johnson):</w:t>
      </w:r>
    </w:p>
    <w:p>
      <w:pPr>
        <w:pStyle w:val="ListBullet"/>
      </w:pPr>
      <w:r>
        <w:t>The site is approved to be open to the internet with no source-IP restriction, to give UAT and production users a frictionless experience. The documented risk was accepted for this phase.</w:t>
      </w:r>
    </w:p>
    <w:p>
      <w:pPr>
        <w:pStyle w:val="ListBullet"/>
      </w:pPr>
      <w:r>
        <w:t>Compensating controls (the agreed minimum): Okta authentication with multi-factor authentication (MFA) required; access limited to approved Okta groups only; a WAF retained for reactive lockdown; logging retained across the content-delivery, API, and application layers.</w:t>
      </w:r>
    </w:p>
    <w:p>
      <w:pPr>
        <w:pStyle w:val="ListBullet"/>
      </w:pPr>
      <w:r>
        <w:t>WAF product decision: Cloudflare Enterprise. THE TEAM upgraded their Cloudflare account to Enterprise specifically for the WAF capability. Michael will point the chosen domain at the content-delivery alias and get it behind the Cloudflare WAF. (This supersedes the earlier Zero Trust Network Access browser proposal — see Section 1.12.)</w:t>
      </w:r>
    </w:p>
    <w:p>
      <w:pPr>
        <w:pStyle w:val="ListBullet"/>
      </w:pPr>
      <w:r>
        <w:t>Scope note: the AWS WAF is content-delivery-scoped only; AWS WAFv2 cannot attach to the API Gateway HTTP API. The Cloudflare Enterprise WAF operates at the domain/edge layer.</w:t>
      </w:r>
    </w:p>
    <w:p>
      <w:pPr>
        <w:pStyle w:val="ListBullet"/>
      </w:pPr>
      <w:r>
        <w:t>[CLIENT] Remaining ask to Michael: confirm the final access model as it will be configured for production. Under the open-to-internet decision there is no IP allow-list for our side to maintain, so our lift here is minimal.</w:t>
      </w:r>
    </w:p>
    <w:p>
      <w:pPr>
        <w:pStyle w:val="Heading2"/>
      </w:pPr>
      <w:r>
        <w:rPr>
          <w:color w:val="00338D"/>
        </w:rPr>
        <w:t>1.10  Key management and rotation policy  [PLACEHOLDER — client-defined]</w:t>
      </w:r>
    </w:p>
    <w:p>
      <w:r>
        <w:rPr>
          <w:b w:val="0"/>
          <w:i w:val="0"/>
        </w:rPr>
        <w:t>The Terraform key-management module provisions the customer-managed encryption keys for the stack. Key management responsibility and a rotation policy are THE TEAM's to define — it is their policy, not ours to write — but it must exist before go-live. Raised by Sid (credited to David). Open until the client specifies rotation cadence, custodianship, and any organizational standards.</w:t>
      </w:r>
    </w:p>
    <w:p>
      <w:pPr>
        <w:pStyle w:val="Heading2"/>
      </w:pPr>
      <w:r>
        <w:rPr>
          <w:color w:val="00338D"/>
        </w:rPr>
        <w:t>1.11  Security items for go-live</w:t>
      </w:r>
    </w:p>
    <w:p>
      <w:r>
        <w:rPr>
          <w:b w:val="0"/>
          <w:i w:val="0"/>
        </w:rPr>
        <w:t>Per the June 25 security review and Michael's direction on the July 6 UAT call:</w:t>
      </w:r>
    </w:p>
    <w:p>
      <w:pPr>
        <w:pStyle w:val="ListNumber"/>
      </w:pPr>
      <w:r>
        <w:rPr>
          <w:b/>
        </w:rPr>
        <w:t xml:space="preserve">Query-level personal-data (PII) inspection before the external web-search call — CODE DONE ON QA, PENDING GUARDRAIL APPLY. </w:t>
      </w:r>
      <w:r>
        <w:t>The screening code is complete on QA; it becomes live-effective only after the guardrail Terraform apply and verification in the target environment.</w:t>
      </w:r>
    </w:p>
    <w:p>
      <w:pPr>
        <w:pStyle w:val="ListNumber"/>
      </w:pPr>
      <w:r>
        <w:rPr>
          <w:b/>
        </w:rPr>
        <w:t xml:space="preserve">Bedrock Guardrails attached to the chat/search path — CODE DONE ON QA, PENDING GUARDRAIL APPLY. </w:t>
      </w:r>
      <w:r>
        <w:t>The guardrail resource exists and the permissions groundwork is complete on QA; it becomes enforcing only after the apply and verification.</w:t>
      </w:r>
    </w:p>
    <w:p>
      <w:r>
        <w:rPr>
          <w:b w:val="0"/>
          <w:i w:val="0"/>
        </w:rPr>
        <w:t>Also committed and tracked:</w:t>
      </w:r>
    </w:p>
    <w:p>
      <w:pPr>
        <w:pStyle w:val="ListBullet"/>
      </w:pPr>
      <w:r>
        <w:t>Dedicated per-search audit log (outbound query and results).</w:t>
      </w:r>
    </w:p>
    <w:p>
      <w:pPr>
        <w:pStyle w:val="ListBullet"/>
      </w:pPr>
      <w:r>
        <w:t>Log/content retention policy — [CLIENT] THE TEAM sets the retention period; we then codify log retention and a database message time-to-live (both currently indefinite).</w:t>
      </w:r>
    </w:p>
    <w:p>
      <w:pPr>
        <w:pStyle w:val="ListBullet"/>
      </w:pPr>
      <w:r>
        <w:t>Okta-group gating of the web-search toggle (low effort; deferred while only two groups exist).</w:t>
      </w:r>
    </w:p>
    <w:p>
      <w:pPr>
        <w:pStyle w:val="ListBullet"/>
      </w:pPr>
      <w:r>
        <w:t>Web-search user disclaimer language — final wording to Michael for approval.</w:t>
      </w:r>
    </w:p>
    <w:p>
      <w:pPr>
        <w:pStyle w:val="ListBullet"/>
      </w:pPr>
      <w:r>
        <w:t>Penetration test — approved. Michael is engaging THE TEAM's security partner (Quorum Cyber) to test the site before production go-live, once UAT-driven changes are baked in. The cost was approved.</w:t>
      </w:r>
    </w:p>
    <w:p>
      <w:r>
        <w:rPr>
          <w:b/>
        </w:rPr>
        <w:t xml:space="preserve">Recommended launch posture: </w:t>
      </w:r>
      <w:r>
        <w:t>go live with web search globally disabled via the admin kill-switch (fail-closed, already built and verified) until items 1 and 2 are applied and verified in production and Michael signs off.</w:t>
      </w:r>
    </w:p>
    <w:p>
      <w:pPr>
        <w:pStyle w:val="Heading2"/>
      </w:pPr>
      <w:r>
        <w:rPr>
          <w:color w:val="00338D"/>
        </w:rPr>
        <w:t>1.12  Zero-trust / edge access requirement — RESOLVED: Cloudflare Enterprise</w:t>
      </w:r>
    </w:p>
    <w:p>
      <w:r>
        <w:rPr>
          <w:b w:val="0"/>
          <w:i w:val="0"/>
        </w:rPr>
        <w:t>Historically, Michael proposed a Zero Trust Network Access (ZTNA) enterprise browser (Island Browser) to restrict access to THE TEAM's employees. As of the June 25 approval thread, that decision is made: Cloudflare Enterprise. THE TEAM upgraded their Cloudflare account to Enterprise specifically for the WAF capability, and the enterprise browser is no longer the path. There is no separate bastion host to build on our side; the network protection is the Cloudflare Enterprise WAF fronting the chosen domain (Section 1.9). Our-side lift is minimal.</w:t>
      </w:r>
    </w:p>
    <w:p>
      <w:pPr>
        <w:pStyle w:val="Heading2"/>
      </w:pPr>
      <w:r>
        <w:rPr>
          <w:color w:val="00338D"/>
        </w:rPr>
        <w:t>1.13  Durable streaming (remove the 30-second cap) — scoped go-live requirement</w:t>
      </w:r>
    </w:p>
    <w:p>
      <w:r>
        <w:rPr>
          <w:b w:val="0"/>
          <w:i w:val="0"/>
        </w:rPr>
        <w:t>The current production streaming path (Server-Sent Events over the API Gateway HTTP API) carries a hard 30-second response ceiling. Shipped auto-recovery mitigations cover the demo, but a 30-second ceiling on long answers is not acceptable for real production users — so removing it is a production go-live requirement, not a future enhancement.</w:t>
      </w:r>
    </w:p>
    <w:p>
      <w:pPr>
        <w:pStyle w:val="ListBullet"/>
      </w:pPr>
      <w:r>
        <w:t>Not WebSocket (that path stays off-limits — Open Item 7).</w:t>
      </w:r>
    </w:p>
    <w:p>
      <w:pPr>
        <w:pStyle w:val="ListBullet"/>
      </w:pPr>
      <w:r>
        <w:t>Direction: move the existing SSE streaming onto a Lambda Function URL with response streaming, via the Lambda Web Adapter (required for the Python runtime), fronted by the content-delivery layer (CloudFront).</w:t>
      </w:r>
    </w:p>
    <w:p>
      <w:pPr>
        <w:pStyle w:val="ListBullet"/>
      </w:pPr>
      <w:r>
        <w:t>Leading (simpler) variant: an unauthenticated Function URL plus a plain content-delivery proxy, a secret origin header the function checks, and the app's existing Okta token. The viewer's authorization token passes through unchanged — so there is no new Okta work and no security-lead action required.</w:t>
      </w:r>
    </w:p>
    <w:p>
      <w:pPr>
        <w:pStyle w:val="ListBullet"/>
      </w:pPr>
      <w:r>
        <w:t>Effort: roughly one week. A comprehensive, implementation-ready design plus independent re-review is in progress; the final scoped design and effort estimate will follow.</w:t>
      </w:r>
    </w:p>
    <w:p>
      <w:pPr>
        <w:pStyle w:val="Heading2"/>
      </w:pPr>
      <w:r>
        <w:rPr>
          <w:color w:val="00338D"/>
        </w:rPr>
        <w:t>1.14  Final cutover and sign-off checklist</w:t>
      </w:r>
    </w:p>
    <w:p>
      <w:r>
        <w:rPr>
          <w:b w:val="0"/>
          <w:i w:val="0"/>
        </w:rPr>
        <w:t>Executed only after UAT sign-off:</w:t>
      </w:r>
    </w:p>
    <w:p>
      <w:pPr>
        <w:pStyle w:val="ListBullet"/>
      </w:pPr>
      <w:r>
        <w:t>☐  UAT completed and signed off by THE TEAM</w:t>
      </w:r>
    </w:p>
    <w:p>
      <w:pPr>
        <w:pStyle w:val="ListBullet"/>
      </w:pPr>
      <w:r>
        <w:t>☐  Security items 1.11.1–1.11.2 (PII screen + Guardrails) applied and verified in production, confirmed with Michael</w:t>
      </w:r>
    </w:p>
    <w:p>
      <w:pPr>
        <w:pStyle w:val="ListBullet"/>
      </w:pPr>
      <w:r>
        <w:t>☐  Penetration test (Quorum Cyber) completed and findings addressed</w:t>
      </w:r>
    </w:p>
    <w:p>
      <w:pPr>
        <w:pStyle w:val="ListBullet"/>
      </w:pPr>
      <w:r>
        <w:t>☐  Network posture confirmed with Michael: Cloudflare Enterprise WAF fronting the domain; Okta/MFA + approved-group gating live; key-management policy defined by THE TEAM</w:t>
      </w:r>
    </w:p>
    <w:p>
      <w:pPr>
        <w:pStyle w:val="ListBullet"/>
      </w:pPr>
      <w:r>
        <w:t>☐  Production database cluster confirmed (tier, connectivity, backups) and migrations/seeds run</w:t>
      </w:r>
    </w:p>
    <w:p>
      <w:pPr>
        <w:pStyle w:val="ListBullet"/>
      </w:pPr>
      <w:r>
        <w:t>☐  Okta production app/authorization-server confirmed and wired; test logins for admin and standard users succeed end to end</w:t>
      </w:r>
    </w:p>
    <w:p>
      <w:pPr>
        <w:pStyle w:val="ListBullet"/>
      </w:pPr>
      <w:r>
        <w:t>☐  First production apply supplied real web-search and database values via environment variables (no placeholder written over live secrets)</w:t>
      </w:r>
    </w:p>
    <w:p>
      <w:pPr>
        <w:pStyle w:val="ListBullet"/>
      </w:pPr>
      <w:r>
        <w:t>☐  Durable streaming deployed and verified — long answers stream past 30 seconds without truncation</w:t>
      </w:r>
    </w:p>
    <w:p>
      <w:pPr>
        <w:pStyle w:val="ListBullet"/>
      </w:pPr>
      <w:r>
        <w:t>☐  qa → main promotion merged; prod deploy pipeline green</w:t>
      </w:r>
    </w:p>
    <w:p>
      <w:pPr>
        <w:pStyle w:val="ListBullet"/>
      </w:pPr>
      <w:r>
        <w:t>☐  Smoke test on the live prod URL: login, chat round-trip, image generation, Knowledge Base query, admin-panel gating, web-search kill-switch state</w:t>
      </w:r>
    </w:p>
    <w:p>
      <w:pPr>
        <w:pStyle w:val="ListBullet"/>
      </w:pPr>
      <w:r>
        <w:t>☐  Admin configuration set: enabled model list, homepage content, search settings</w:t>
      </w:r>
    </w:p>
    <w:p>
      <w:pPr>
        <w:pStyle w:val="ListBullet"/>
      </w:pPr>
      <w:r>
        <w:t>☐  DNS/custom domain steps executed when the domain lands (may trail go-live)</w:t>
      </w:r>
    </w:p>
    <w:p>
      <w:pPr>
        <w:pStyle w:val="ListBullet"/>
      </w:pPr>
      <w:r>
        <w:t>☐  Deployment record: commit identifier, tag, date, sign-offs</w:t>
      </w:r>
    </w:p>
    <w:p>
      <w:pPr>
        <w:pStyle w:val="Heading1"/>
      </w:pPr>
      <w:r>
        <w:rPr>
          <w:color w:val="00338D"/>
        </w:rPr>
        <w:t>Part 2 — Ongoing Deployment (the repeatable procedure)</w:t>
      </w:r>
    </w:p>
    <w:p>
      <w:r>
        <w:rPr>
          <w:b w:val="0"/>
          <w:i w:val="0"/>
        </w:rPr>
        <w:t>Once production is live, every change follows the same short loop:</w:t>
      </w:r>
    </w:p>
    <w:p>
      <w:pPr>
        <w:pStyle w:val="ListNumber"/>
      </w:pPr>
      <w:r>
        <w:t>Develop: feature/fix branch off dev → pull request to dev. Required checks must pass. Squash-merge.</w:t>
      </w:r>
    </w:p>
    <w:p>
      <w:pPr>
        <w:pStyle w:val="ListNumber"/>
      </w:pPr>
      <w:r>
        <w:t>Auto-deploy to dev: push to dev triggers the dev pipelines. Verify on the dev URL.</w:t>
      </w:r>
    </w:p>
    <w:p>
      <w:pPr>
        <w:pStyle w:val="ListNumber"/>
      </w:pPr>
      <w:r>
        <w:t>Promote to QA: advance the qa branch to the same dev commit (dev and QA are code-identical by rule; only configuration and the database differ). Verify on the QA URL; client-facing testing happens here.</w:t>
      </w:r>
    </w:p>
    <w:p>
      <w:pPr>
        <w:pStyle w:val="ListNumber"/>
      </w:pPr>
      <w:r>
        <w:t>Promote to production: open a promotion pull request qa → main. On merge, the prod pipeline builds and deploys. Approve the deployment gate if protection is enabled.</w:t>
      </w:r>
    </w:p>
    <w:p>
      <w:pPr>
        <w:pStyle w:val="ListNumber"/>
      </w:pPr>
      <w:r>
        <w:t>Verify production: smoke test the live URL and confirm the deployed frontend's Okta issuer matches the prod authorizer.</w:t>
      </w:r>
    </w:p>
    <w:p>
      <w:pPr>
        <w:pStyle w:val="ListNumber"/>
      </w:pPr>
      <w:r>
        <w:t>Infrastructure changes (only when Terraform changed): plan → review → apply, always supplying real secret values via environment variables and coordinating any edge-WAF sequencing with Michael.</w:t>
      </w:r>
    </w:p>
    <w:p>
      <w:pPr>
        <w:pStyle w:val="ListNumber"/>
      </w:pPr>
      <w:r>
        <w:t>Database migrations: run the migration runner against prod as part of any release that includes a migration.</w:t>
      </w:r>
    </w:p>
    <w:p>
      <w:pPr>
        <w:pStyle w:val="ListNumber"/>
      </w:pPr>
      <w:r>
        <w:t>Rollback: revert the offending commit on main (or re-run the deploy at the previous commit); the pipeline redeploys the prior build. Database migrations require their own reverse migration.</w:t>
      </w:r>
    </w:p>
    <w:p>
      <w:pPr>
        <w:pStyle w:val="Heading1"/>
      </w:pPr>
      <w:r>
        <w:rPr>
          <w:color w:val="00338D"/>
        </w:rPr>
        <w:t>Open Items / Needs Confirmation</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shd w:val="clear" w:color="auto" w:fill="00338D"/>
          </w:tcPr>
          <w:p>
            <w:r>
              <w:rPr>
                <w:b/>
                <w:color w:val="FFFFFF"/>
                <w:sz w:val="20"/>
              </w:rPr>
              <w:t>#</w:t>
            </w:r>
          </w:p>
        </w:tc>
        <w:tc>
          <w:tcPr>
            <w:tcW w:type="dxa" w:w="2160"/>
            <w:shd w:val="clear" w:color="auto" w:fill="00338D"/>
          </w:tcPr>
          <w:p>
            <w:r>
              <w:rPr>
                <w:b/>
                <w:color w:val="FFFFFF"/>
                <w:sz w:val="20"/>
              </w:rPr>
              <w:t>Item</w:t>
            </w:r>
          </w:p>
        </w:tc>
        <w:tc>
          <w:tcPr>
            <w:tcW w:type="dxa" w:w="2160"/>
            <w:shd w:val="clear" w:color="auto" w:fill="00338D"/>
          </w:tcPr>
          <w:p>
            <w:r>
              <w:rPr>
                <w:b/>
                <w:color w:val="FFFFFF"/>
                <w:sz w:val="20"/>
              </w:rPr>
              <w:t>Owner</w:t>
            </w:r>
          </w:p>
        </w:tc>
        <w:tc>
          <w:tcPr>
            <w:tcW w:type="dxa" w:w="2160"/>
            <w:shd w:val="clear" w:color="auto" w:fill="00338D"/>
          </w:tcPr>
          <w:p>
            <w:r>
              <w:rPr>
                <w:b/>
                <w:color w:val="FFFFFF"/>
                <w:sz w:val="20"/>
              </w:rPr>
              <w:t>Status</w:t>
            </w:r>
          </w:p>
        </w:tc>
      </w:tr>
      <w:tr>
        <w:tc>
          <w:tcPr>
            <w:tcW w:type="dxa" w:w="2160"/>
          </w:tcPr>
          <w:p>
            <w:r>
              <w:rPr>
                <w:sz w:val="19"/>
              </w:rPr>
              <w:t>1</w:t>
            </w:r>
          </w:p>
        </w:tc>
        <w:tc>
          <w:tcPr>
            <w:tcW w:type="dxa" w:w="2160"/>
          </w:tcPr>
          <w:p>
            <w:r>
              <w:rPr>
                <w:sz w:val="19"/>
              </w:rPr>
              <w:t>Production deployment model — fresh deploy into the prod account vs. the “QA becomes prod” model.</w:t>
            </w:r>
          </w:p>
        </w:tc>
        <w:tc>
          <w:tcPr>
            <w:tcW w:type="dxa" w:w="2160"/>
          </w:tcPr>
          <w:p>
            <w:r>
              <w:rPr>
                <w:sz w:val="19"/>
              </w:rPr>
              <w:t>Sid + Michael</w:t>
            </w:r>
          </w:p>
        </w:tc>
        <w:tc>
          <w:tcPr>
            <w:tcW w:type="dxa" w:w="2160"/>
          </w:tcPr>
          <w:p>
            <w:r>
              <w:rPr>
                <w:sz w:val="19"/>
              </w:rPr>
              <w:t>OPEN</w:t>
            </w:r>
          </w:p>
        </w:tc>
      </w:tr>
      <w:tr>
        <w:tc>
          <w:tcPr>
            <w:tcW w:type="dxa" w:w="2160"/>
          </w:tcPr>
          <w:p>
            <w:r>
              <w:rPr>
                <w:sz w:val="19"/>
              </w:rPr>
              <w:t>2</w:t>
            </w:r>
          </w:p>
        </w:tc>
        <w:tc>
          <w:tcPr>
            <w:tcW w:type="dxa" w:w="2160"/>
          </w:tcPr>
          <w:p>
            <w:r>
              <w:rPr>
                <w:sz w:val="19"/>
              </w:rPr>
              <w:t>Prod deploy pipeline does not exist — must be built (Step 1.5).</w:t>
            </w:r>
          </w:p>
        </w:tc>
        <w:tc>
          <w:tcPr>
            <w:tcW w:type="dxa" w:w="2160"/>
          </w:tcPr>
          <w:p>
            <w:r>
              <w:rPr>
                <w:sz w:val="19"/>
              </w:rPr>
              <w:t>Jonathan</w:t>
            </w:r>
          </w:p>
        </w:tc>
        <w:tc>
          <w:tcPr>
            <w:tcW w:type="dxa" w:w="2160"/>
          </w:tcPr>
          <w:p>
            <w:r>
              <w:rPr>
                <w:sz w:val="19"/>
              </w:rPr>
              <w:t>BUILD ITEM</w:t>
            </w:r>
          </w:p>
        </w:tc>
      </w:tr>
      <w:tr>
        <w:tc>
          <w:tcPr>
            <w:tcW w:type="dxa" w:w="2160"/>
          </w:tcPr>
          <w:p>
            <w:r>
              <w:rPr>
                <w:sz w:val="19"/>
              </w:rPr>
              <w:t>3</w:t>
            </w:r>
          </w:p>
        </w:tc>
        <w:tc>
          <w:tcPr>
            <w:tcW w:type="dxa" w:w="2160"/>
          </w:tcPr>
          <w:p>
            <w:r>
              <w:rPr>
                <w:sz w:val="19"/>
              </w:rPr>
              <w:t>Okta ambiguity — does production reuse the authorization server currently serving QA, or get its own?</w:t>
            </w:r>
          </w:p>
        </w:tc>
        <w:tc>
          <w:tcPr>
            <w:tcW w:type="dxa" w:w="2160"/>
          </w:tcPr>
          <w:p>
            <w:r>
              <w:rPr>
                <w:sz w:val="19"/>
              </w:rPr>
              <w:t>Sid + Michael</w:t>
            </w:r>
          </w:p>
        </w:tc>
        <w:tc>
          <w:tcPr>
            <w:tcW w:type="dxa" w:w="2160"/>
          </w:tcPr>
          <w:p>
            <w:r>
              <w:rPr>
                <w:sz w:val="19"/>
              </w:rPr>
              <w:t>OPEN</w:t>
            </w:r>
          </w:p>
        </w:tc>
      </w:tr>
      <w:tr>
        <w:tc>
          <w:tcPr>
            <w:tcW w:type="dxa" w:w="2160"/>
          </w:tcPr>
          <w:p>
            <w:r>
              <w:rPr>
                <w:sz w:val="19"/>
              </w:rPr>
              <w:t>4</w:t>
            </w:r>
          </w:p>
        </w:tc>
        <w:tc>
          <w:tcPr>
            <w:tcW w:type="dxa" w:w="2160"/>
          </w:tcPr>
          <w:p>
            <w:r>
              <w:rPr>
                <w:sz w:val="19"/>
              </w:rPr>
              <w:t>Production database tier — confirm the tier and obtain connection details from Ryan.</w:t>
            </w:r>
          </w:p>
        </w:tc>
        <w:tc>
          <w:tcPr>
            <w:tcW w:type="dxa" w:w="2160"/>
          </w:tcPr>
          <w:p>
            <w:r>
              <w:rPr>
                <w:sz w:val="19"/>
              </w:rPr>
              <w:t>Sid → Ryan</w:t>
            </w:r>
          </w:p>
        </w:tc>
        <w:tc>
          <w:tcPr>
            <w:tcW w:type="dxa" w:w="2160"/>
          </w:tcPr>
          <w:p>
            <w:r>
              <w:rPr>
                <w:sz w:val="19"/>
              </w:rPr>
              <w:t>OPEN</w:t>
            </w:r>
          </w:p>
        </w:tc>
      </w:tr>
      <w:tr>
        <w:tc>
          <w:tcPr>
            <w:tcW w:type="dxa" w:w="2160"/>
          </w:tcPr>
          <w:p>
            <w:r>
              <w:rPr>
                <w:sz w:val="19"/>
              </w:rPr>
              <w:t>5</w:t>
            </w:r>
          </w:p>
        </w:tc>
        <w:tc>
          <w:tcPr>
            <w:tcW w:type="dxa" w:w="2160"/>
          </w:tcPr>
          <w:p>
            <w:r>
              <w:rPr>
                <w:sz w:val="19"/>
              </w:rPr>
              <w:t>Network posture / WAF — resolved as Cloudflare Enterprise WAF fronting the domain; site approved open-to-internet with Okta/MFA + group gating. Michael to confirm final production configuration.</w:t>
            </w:r>
          </w:p>
        </w:tc>
        <w:tc>
          <w:tcPr>
            <w:tcW w:type="dxa" w:w="2160"/>
          </w:tcPr>
          <w:p>
            <w:r>
              <w:rPr>
                <w:sz w:val="19"/>
              </w:rPr>
              <w:t>Michael</w:t>
            </w:r>
          </w:p>
        </w:tc>
        <w:tc>
          <w:tcPr>
            <w:tcW w:type="dxa" w:w="2160"/>
          </w:tcPr>
          <w:p>
            <w:r>
              <w:rPr>
                <w:sz w:val="19"/>
              </w:rPr>
              <w:t>MOSTLY RESOLVED</w:t>
            </w:r>
          </w:p>
        </w:tc>
      </w:tr>
      <w:tr>
        <w:tc>
          <w:tcPr>
            <w:tcW w:type="dxa" w:w="2160"/>
          </w:tcPr>
          <w:p>
            <w:r>
              <w:rPr>
                <w:sz w:val="19"/>
              </w:rPr>
              <w:t>6</w:t>
            </w:r>
          </w:p>
        </w:tc>
        <w:tc>
          <w:tcPr>
            <w:tcW w:type="dxa" w:w="2160"/>
          </w:tcPr>
          <w:p>
            <w:r>
              <w:rPr>
                <w:sz w:val="19"/>
              </w:rPr>
              <w:t>Custom domain — not chosen by THE TEAM; “aihub.the.team” floated as an example only. Not a launch blocker.</w:t>
            </w:r>
          </w:p>
        </w:tc>
        <w:tc>
          <w:tcPr>
            <w:tcW w:type="dxa" w:w="2160"/>
          </w:tcPr>
          <w:p>
            <w:r>
              <w:rPr>
                <w:sz w:val="19"/>
              </w:rPr>
              <w:t>THE TEAM</w:t>
            </w:r>
          </w:p>
        </w:tc>
        <w:tc>
          <w:tcPr>
            <w:tcW w:type="dxa" w:w="2160"/>
          </w:tcPr>
          <w:p>
            <w:r>
              <w:rPr>
                <w:sz w:val="19"/>
              </w:rPr>
              <w:t>OPEN</w:t>
            </w:r>
          </w:p>
        </w:tc>
      </w:tr>
      <w:tr>
        <w:tc>
          <w:tcPr>
            <w:tcW w:type="dxa" w:w="2160"/>
          </w:tcPr>
          <w:p>
            <w:r>
              <w:rPr>
                <w:sz w:val="19"/>
              </w:rPr>
              <w:t>7</w:t>
            </w:r>
          </w:p>
        </w:tc>
        <w:tc>
          <w:tcPr>
            <w:tcW w:type="dxa" w:w="2160"/>
          </w:tcPr>
          <w:p>
            <w:r>
              <w:rPr>
                <w:sz w:val="19"/>
              </w:rPr>
              <w:t>Durable streaming (remove the 30-second cap) — now a scoped go-live requirement, not a future question. The 30-second ceiling on long answers is unacceptable for real users. Approach: SSE moved to a Lambda Function URL with response streaming (via the Lambda Web Adapter, required for Python), fronted by the content-delivery layer; the leading variant needs no new Okta work and no security-lead dependency. Design in review, about one week. WebSocket remains off-limits.</w:t>
            </w:r>
          </w:p>
        </w:tc>
        <w:tc>
          <w:tcPr>
            <w:tcW w:type="dxa" w:w="2160"/>
          </w:tcPr>
          <w:p>
            <w:r>
              <w:rPr>
                <w:sz w:val="19"/>
              </w:rPr>
              <w:t>Jonathan</w:t>
            </w:r>
          </w:p>
        </w:tc>
        <w:tc>
          <w:tcPr>
            <w:tcW w:type="dxa" w:w="2160"/>
          </w:tcPr>
          <w:p>
            <w:r>
              <w:rPr>
                <w:sz w:val="19"/>
              </w:rPr>
              <w:t>GO-LIVE REQ — DESIGN IN REVIEW</w:t>
            </w:r>
          </w:p>
        </w:tc>
      </w:tr>
      <w:tr>
        <w:tc>
          <w:tcPr>
            <w:tcW w:type="dxa" w:w="2160"/>
          </w:tcPr>
          <w:p>
            <w:r>
              <w:rPr>
                <w:sz w:val="19"/>
              </w:rPr>
              <w:t>8</w:t>
            </w:r>
          </w:p>
        </w:tc>
        <w:tc>
          <w:tcPr>
            <w:tcW w:type="dxa" w:w="2160"/>
          </w:tcPr>
          <w:p>
            <w:r>
              <w:rPr>
                <w:sz w:val="19"/>
              </w:rPr>
              <w:t>Key management / rotation policy — THE TEAM's policy to define before go-live.</w:t>
            </w:r>
          </w:p>
        </w:tc>
        <w:tc>
          <w:tcPr>
            <w:tcW w:type="dxa" w:w="2160"/>
          </w:tcPr>
          <w:p>
            <w:r>
              <w:rPr>
                <w:sz w:val="19"/>
              </w:rPr>
              <w:t>THE TEAM</w:t>
            </w:r>
          </w:p>
        </w:tc>
        <w:tc>
          <w:tcPr>
            <w:tcW w:type="dxa" w:w="2160"/>
          </w:tcPr>
          <w:p>
            <w:r>
              <w:rPr>
                <w:sz w:val="19"/>
              </w:rPr>
              <w:t>PLACEHOLDER</w:t>
            </w:r>
          </w:p>
        </w:tc>
      </w:tr>
      <w:tr>
        <w:tc>
          <w:tcPr>
            <w:tcW w:type="dxa" w:w="2160"/>
          </w:tcPr>
          <w:p>
            <w:r>
              <w:rPr>
                <w:sz w:val="19"/>
              </w:rPr>
              <w:t>9</w:t>
            </w:r>
          </w:p>
        </w:tc>
        <w:tc>
          <w:tcPr>
            <w:tcW w:type="dxa" w:w="2160"/>
          </w:tcPr>
          <w:p>
            <w:r>
              <w:rPr>
                <w:sz w:val="19"/>
              </w:rPr>
              <w:t>Security go-live items — PII query screen and Bedrock Guardrails are code-complete on QA, live-effective only after the guardrail apply and verification. Penetration test approved, to run before go-live.</w:t>
            </w:r>
          </w:p>
        </w:tc>
        <w:tc>
          <w:tcPr>
            <w:tcW w:type="dxa" w:w="2160"/>
          </w:tcPr>
          <w:p>
            <w:r>
              <w:rPr>
                <w:sz w:val="19"/>
              </w:rPr>
              <w:t>Jonathan / Michael</w:t>
            </w:r>
          </w:p>
        </w:tc>
        <w:tc>
          <w:tcPr>
            <w:tcW w:type="dxa" w:w="2160"/>
          </w:tcPr>
          <w:p>
            <w:r>
              <w:rPr>
                <w:sz w:val="19"/>
              </w:rPr>
              <w:t>CODE DONE — PENDING APPLY</w:t>
            </w:r>
          </w:p>
        </w:tc>
      </w:tr>
      <w:tr>
        <w:tc>
          <w:tcPr>
            <w:tcW w:type="dxa" w:w="2160"/>
          </w:tcPr>
          <w:p>
            <w:r>
              <w:rPr>
                <w:sz w:val="19"/>
              </w:rPr>
              <w:t>10</w:t>
            </w:r>
          </w:p>
        </w:tc>
        <w:tc>
          <w:tcPr>
            <w:tcW w:type="dxa" w:w="2160"/>
          </w:tcPr>
          <w:p>
            <w:r>
              <w:rPr>
                <w:sz w:val="19"/>
              </w:rPr>
              <w:t>Log/content retention policy — THE TEAM decides retention; we implement log retention and database time-to-live (both currently indefinite).</w:t>
            </w:r>
          </w:p>
        </w:tc>
        <w:tc>
          <w:tcPr>
            <w:tcW w:type="dxa" w:w="2160"/>
          </w:tcPr>
          <w:p>
            <w:r>
              <w:rPr>
                <w:sz w:val="19"/>
              </w:rPr>
              <w:t>THE TEAM → Jonathan</w:t>
            </w:r>
          </w:p>
        </w:tc>
        <w:tc>
          <w:tcPr>
            <w:tcW w:type="dxa" w:w="2160"/>
          </w:tcPr>
          <w:p>
            <w:r>
              <w:rPr>
                <w:sz w:val="19"/>
              </w:rPr>
              <w:t>OPEN</w:t>
            </w:r>
          </w:p>
        </w:tc>
      </w:tr>
      <w:tr>
        <w:tc>
          <w:tcPr>
            <w:tcW w:type="dxa" w:w="2160"/>
          </w:tcPr>
          <w:p>
            <w:r>
              <w:rPr>
                <w:sz w:val="19"/>
              </w:rPr>
              <w:t>11</w:t>
            </w:r>
          </w:p>
        </w:tc>
        <w:tc>
          <w:tcPr>
            <w:tcW w:type="dxa" w:w="2160"/>
          </w:tcPr>
          <w:p>
            <w:r>
              <w:rPr>
                <w:sz w:val="19"/>
              </w:rPr>
              <w:t>First-apply secret handling — the first production apply must supply real web-search and database values via environment variables or it overwrites live secrets with a placeholder. Codification in flight.</w:t>
            </w:r>
          </w:p>
        </w:tc>
        <w:tc>
          <w:tcPr>
            <w:tcW w:type="dxa" w:w="2160"/>
          </w:tcPr>
          <w:p>
            <w:r>
              <w:rPr>
                <w:sz w:val="19"/>
              </w:rPr>
              <w:t>Jonathan</w:t>
            </w:r>
          </w:p>
        </w:tc>
        <w:tc>
          <w:tcPr>
            <w:tcW w:type="dxa" w:w="2160"/>
          </w:tcPr>
          <w:p>
            <w:r>
              <w:rPr>
                <w:sz w:val="19"/>
              </w:rPr>
              <w:t>KNOWN — GUARDED</w:t>
            </w:r>
          </w:p>
        </w:tc>
      </w:tr>
      <w:tr>
        <w:tc>
          <w:tcPr>
            <w:tcW w:type="dxa" w:w="2160"/>
          </w:tcPr>
          <w:p>
            <w:r>
              <w:rPr>
                <w:sz w:val="19"/>
              </w:rPr>
              <w:t>12</w:t>
            </w:r>
          </w:p>
        </w:tc>
        <w:tc>
          <w:tcPr>
            <w:tcW w:type="dxa" w:w="2160"/>
          </w:tcPr>
          <w:p>
            <w:r>
              <w:rPr>
                <w:sz w:val="19"/>
              </w:rPr>
              <w:t>Okta SCIM (auto user/group sync) — read side already exists; full push-provisioning is net-new backend work. Bill's stated top priority: it is the enabler for group / business-unit usage tracking (today only per-individual usage is trackable). Not a UAT blocker. Action: preliminary research + call with Bill and Peter Hua.</w:t>
            </w:r>
          </w:p>
        </w:tc>
        <w:tc>
          <w:tcPr>
            <w:tcW w:type="dxa" w:w="2160"/>
          </w:tcPr>
          <w:p>
            <w:r>
              <w:rPr>
                <w:sz w:val="19"/>
              </w:rPr>
              <w:t>Jonathan / Bill</w:t>
            </w:r>
          </w:p>
        </w:tc>
        <w:tc>
          <w:tcPr>
            <w:tcW w:type="dxa" w:w="2160"/>
          </w:tcPr>
          <w:p>
            <w:r>
              <w:rPr>
                <w:sz w:val="19"/>
              </w:rPr>
              <w:t>SCOPED FOR PROD</w:t>
            </w:r>
          </w:p>
        </w:tc>
      </w:tr>
    </w:tbl>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